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PUSKESMAS SAPURAN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440/124/Pusk-Spr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dr. PRIYO HADI SAMBODO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19631007 198910 1 001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Willy Candra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 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ND125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AA6070XF / MH1JB31195K112468 / JB31E-1111599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11.778.000,00 (Sebelas juta tujuh ratus tujuh puluh delapan ribu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31 March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Direktur BLUD Puskesmas Sapuran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dr. PRIYO HADI SAMBODO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19631007 198910 1 001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Willy Candra 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 /-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PUSKESMAS SAPURAN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Non 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440/124/Pusk-Spr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31 March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07010100012000008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1.3.2.02.001.004.001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Sepeda Motor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HONDA / ND125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AA6070XF / MH1JB31195K112468 / JB31E-1111599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11.778.000,00 (Sebelas juta tujuh ratus tujuh puluh delapan ribu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PUSKESMAS SAPURAN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PUSKESMAS SAPURAN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31 March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Willy Candra M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